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C1" w:rsidRPr="00A32125" w:rsidRDefault="00EC6AC1">
      <w:pPr>
        <w:spacing w:line="240" w:lineRule="auto"/>
        <w:jc w:val="center"/>
        <w:rPr>
          <w:rFonts w:ascii="Times New Roman" w:hAnsi="Times New Roman"/>
          <w:b/>
          <w:bCs/>
          <w:sz w:val="24"/>
          <w:szCs w:val="24"/>
        </w:rPr>
      </w:pPr>
    </w:p>
    <w:p w:rsidR="00EC6AC1" w:rsidRPr="00A32125" w:rsidRDefault="00EC6AC1">
      <w:pPr>
        <w:spacing w:line="240" w:lineRule="auto"/>
        <w:jc w:val="center"/>
        <w:rPr>
          <w:rFonts w:ascii="Times New Roman" w:hAnsi="Times New Roman"/>
          <w:b/>
          <w:bCs/>
          <w:sz w:val="24"/>
          <w:szCs w:val="24"/>
        </w:rPr>
      </w:pPr>
    </w:p>
    <w:p w:rsidR="00EC6AC1" w:rsidRPr="00A32125" w:rsidRDefault="00EC6AC1">
      <w:pPr>
        <w:spacing w:line="240" w:lineRule="auto"/>
        <w:jc w:val="center"/>
        <w:rPr>
          <w:rFonts w:ascii="Times New Roman" w:hAnsi="Times New Roman"/>
          <w:b/>
          <w:bCs/>
          <w:sz w:val="24"/>
          <w:szCs w:val="24"/>
        </w:rPr>
      </w:pPr>
    </w:p>
    <w:p w:rsidR="00EC6AC1" w:rsidRPr="00A32125" w:rsidRDefault="00EC6AC1">
      <w:pPr>
        <w:spacing w:line="240" w:lineRule="auto"/>
        <w:jc w:val="center"/>
        <w:rPr>
          <w:rFonts w:ascii="Times New Roman" w:hAnsi="Times New Roman"/>
          <w:b/>
          <w:bCs/>
          <w:sz w:val="24"/>
          <w:szCs w:val="24"/>
        </w:rPr>
      </w:pPr>
    </w:p>
    <w:p w:rsidR="00EC6AC1" w:rsidRPr="00A32125" w:rsidRDefault="00923B76">
      <w:pPr>
        <w:spacing w:line="240" w:lineRule="auto"/>
        <w:jc w:val="center"/>
        <w:rPr>
          <w:rFonts w:ascii="Times New Roman" w:hAnsi="Times New Roman"/>
          <w:b/>
          <w:bCs/>
          <w:sz w:val="24"/>
          <w:szCs w:val="24"/>
        </w:rPr>
      </w:pPr>
      <w:r w:rsidRPr="00A32125">
        <w:rPr>
          <w:rFonts w:ascii="Times New Roman" w:hAnsi="Times New Roman"/>
          <w:b/>
          <w:bCs/>
          <w:sz w:val="24"/>
          <w:szCs w:val="24"/>
        </w:rPr>
        <w:t xml:space="preserve">Piperacillin-Tazobactum </w:t>
      </w:r>
    </w:p>
    <w:p w:rsidR="00EC6AC1" w:rsidRPr="00A32125" w:rsidRDefault="00923B76">
      <w:pPr>
        <w:spacing w:line="240" w:lineRule="auto"/>
        <w:jc w:val="center"/>
        <w:rPr>
          <w:rFonts w:ascii="Times New Roman" w:hAnsi="Times New Roman"/>
          <w:b/>
          <w:bCs/>
          <w:sz w:val="24"/>
          <w:szCs w:val="24"/>
        </w:rPr>
      </w:pPr>
      <w:r w:rsidRPr="00A32125">
        <w:rPr>
          <w:rFonts w:ascii="Times New Roman" w:hAnsi="Times New Roman"/>
          <w:b/>
          <w:bCs/>
          <w:sz w:val="24"/>
          <w:szCs w:val="24"/>
        </w:rPr>
        <w:t>Dose adjustment monograph</w:t>
      </w:r>
    </w:p>
    <w:p w:rsidR="00EC6AC1" w:rsidRPr="00A32125" w:rsidRDefault="00EC6AC1">
      <w:pPr>
        <w:spacing w:line="240" w:lineRule="auto"/>
        <w:jc w:val="center"/>
        <w:rPr>
          <w:rFonts w:ascii="Times New Roman" w:hAnsi="Times New Roman"/>
          <w:sz w:val="24"/>
          <w:szCs w:val="24"/>
        </w:rPr>
      </w:pPr>
    </w:p>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Name:</w:t>
      </w:r>
    </w:p>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Institution:</w:t>
      </w:r>
    </w:p>
    <w:p w:rsidR="00EC6AC1" w:rsidRPr="00A32125" w:rsidRDefault="00EC6AC1">
      <w:pPr>
        <w:spacing w:line="240" w:lineRule="auto"/>
        <w:rPr>
          <w:rFonts w:ascii="Times New Roman" w:hAnsi="Times New Roman"/>
          <w:b/>
          <w:bCs/>
          <w:sz w:val="24"/>
          <w:szCs w:val="24"/>
        </w:rPr>
      </w:pP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br w:type="page"/>
      </w:r>
      <w:r w:rsidRPr="00A32125">
        <w:rPr>
          <w:rFonts w:ascii="Times New Roman" w:hAnsi="Times New Roman"/>
          <w:b/>
          <w:bCs/>
          <w:sz w:val="24"/>
          <w:szCs w:val="24"/>
        </w:rPr>
        <w:lastRenderedPageBreak/>
        <w:t>Background</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Piperacillin-Tazobactum is a drug that is used to treat a broad range of bacterial infections. Some of the bacterial infections treated using this drug are presumed </w:t>
      </w:r>
      <w:r w:rsidRPr="00A32125">
        <w:rPr>
          <w:rFonts w:ascii="Times New Roman" w:hAnsi="Times New Roman"/>
          <w:sz w:val="24"/>
          <w:szCs w:val="24"/>
        </w:rPr>
        <w:t>infection in neutropenic patient with fever, bacterial pneumonia caused by Haemophilus influenzae, pneumonia caused by bacteria, nosocomial bacterial pneumonia, hospital-acquired pneumonia from Staphylococcus bacteria, and cystic fibrosis and infection fro</w:t>
      </w:r>
      <w:r w:rsidRPr="00A32125">
        <w:rPr>
          <w:rFonts w:ascii="Times New Roman" w:hAnsi="Times New Roman"/>
          <w:sz w:val="24"/>
          <w:szCs w:val="24"/>
        </w:rPr>
        <w:t>m Pseudomonas bacteria among others [1]. The mechanism of action of this drug is inhibition of the synthesis of bacterial cell wall. Tazobactum is given with pileracillin to prevent bacteria from destroying the latter. Therefore, tazobactum is used to incr</w:t>
      </w:r>
      <w:r w:rsidRPr="00A32125">
        <w:rPr>
          <w:rFonts w:ascii="Times New Roman" w:hAnsi="Times New Roman"/>
          <w:sz w:val="24"/>
          <w:szCs w:val="24"/>
        </w:rPr>
        <w:t>ease the effectiveness of piperacillin. This medication is given through an injection into the veins. It is injected every 6 hours and slowly over a period of 30 minutes. The standard dosage of this drug is IV: 3-4g/dose q4 to 6hrs not to exceed 24g in 24h</w:t>
      </w:r>
      <w:r w:rsidRPr="00A32125">
        <w:rPr>
          <w:rFonts w:ascii="Times New Roman" w:hAnsi="Times New Roman"/>
          <w:sz w:val="24"/>
          <w:szCs w:val="24"/>
        </w:rPr>
        <w:t>rs. Through IM: 2-3g/dose q6 to 12 hrs not to exceed 24g in 24 hrs.</w:t>
      </w:r>
      <w:bookmarkStart w:id="0" w:name="_GoBack"/>
      <w:bookmarkEnd w:id="0"/>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t>Obese Patients</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The dosage of Piperacillin-Tazobactum is varied from one patient to another depending on diagnosed complications. A patient with obesity has a higher volume distribution, wh</w:t>
      </w:r>
      <w:r w:rsidRPr="00A32125">
        <w:rPr>
          <w:rFonts w:ascii="Times New Roman" w:hAnsi="Times New Roman"/>
          <w:sz w:val="24"/>
          <w:szCs w:val="24"/>
        </w:rPr>
        <w:t>ich is the total amount of a drug in the body compared to the concentration of plasma. The physiochemical characteristics of a drug determine its rate of distribution from blood to tissue and across tissue membranes [2]. Because of an increase in adipose a</w:t>
      </w:r>
      <w:r w:rsidRPr="00A32125">
        <w:rPr>
          <w:rFonts w:ascii="Times New Roman" w:hAnsi="Times New Roman"/>
          <w:sz w:val="24"/>
          <w:szCs w:val="24"/>
        </w:rPr>
        <w:t>nd lean muscle mass, volume distribution is high in obese patients. This implies that there will be an alteration of the standard dosage to 4.5g/dose q8hrs prolonged infusion for up to eight hours or 4.5g/dose q6hrs for 30-mins infusion. For the critically</w:t>
      </w:r>
      <w:r w:rsidRPr="00A32125">
        <w:rPr>
          <w:rFonts w:ascii="Times New Roman" w:hAnsi="Times New Roman"/>
          <w:sz w:val="24"/>
          <w:szCs w:val="24"/>
        </w:rPr>
        <w:t xml:space="preserve"> ill obese patients, prolonged infusion is required. Critically ill obese patients with a creatin clearance of more than 100ml/min will require a higher dose prolonged infusion. A higher dosage is required for obese patients because the total amount of dru</w:t>
      </w:r>
      <w:r w:rsidRPr="00A32125">
        <w:rPr>
          <w:rFonts w:ascii="Times New Roman" w:hAnsi="Times New Roman"/>
          <w:sz w:val="24"/>
          <w:szCs w:val="24"/>
        </w:rPr>
        <w:t xml:space="preserve">g that is absorbed in the blood is limited [2]. A decrease in the amount of administered drug is linked to the increased muscle mass and adipose tissue, which inhibit the movement of the drugs [3]. To address this issue, prolonged infusion is preferred to </w:t>
      </w:r>
      <w:r w:rsidRPr="00A32125">
        <w:rPr>
          <w:rFonts w:ascii="Times New Roman" w:hAnsi="Times New Roman"/>
          <w:sz w:val="24"/>
          <w:szCs w:val="24"/>
        </w:rPr>
        <w:t xml:space="preserve">achieve an optimal patient outcome [4]. </w:t>
      </w: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t xml:space="preserve">Augmented Renal Function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Augmented renal function is a condition that occurs when a critically ill patient shows increased clearance of medication through the kidneys [5]. This condition affects the amount of drugs</w:t>
      </w:r>
      <w:r w:rsidRPr="00A32125">
        <w:rPr>
          <w:rFonts w:ascii="Times New Roman" w:hAnsi="Times New Roman"/>
          <w:sz w:val="24"/>
          <w:szCs w:val="24"/>
        </w:rPr>
        <w:t xml:space="preserve"> administered to a patient. In the case of augmented renal function, there is a very high rate of creatin clearance, or more then 130mm/min. In a study conducted by [6], a higher dose of Piperacillin-Tazobactum should be administered to patients with augme</w:t>
      </w:r>
      <w:r w:rsidRPr="00A32125">
        <w:rPr>
          <w:rFonts w:ascii="Times New Roman" w:hAnsi="Times New Roman"/>
          <w:sz w:val="24"/>
          <w:szCs w:val="24"/>
        </w:rPr>
        <w:t xml:space="preserve">nted renal function. Studies show that people with a creatin clearance of over 100mm/min need to have a higher dosage than the standard measures. Increasing the dosage for a prolonged infusion.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An increase in creatin clearance leads to a decrease in the p</w:t>
      </w:r>
      <w:r w:rsidRPr="00A32125">
        <w:rPr>
          <w:rFonts w:ascii="Times New Roman" w:hAnsi="Times New Roman"/>
          <w:sz w:val="24"/>
          <w:szCs w:val="24"/>
        </w:rPr>
        <w:t>robability of achieving the standard regimen dosing. The medication for this patient should be adjusted to 16g per day continuously 160mg/mL for a 12 hour infusion. Adjusting this dosage will ensure that the rate of creatin clearance of balanced and the ra</w:t>
      </w:r>
      <w:r w:rsidRPr="00A32125">
        <w:rPr>
          <w:rFonts w:ascii="Times New Roman" w:hAnsi="Times New Roman"/>
          <w:sz w:val="24"/>
          <w:szCs w:val="24"/>
        </w:rPr>
        <w:t>te of drug clearance from the system decreased. With this adjusted treatment, the probability of achieving quality outcome will be 93% [7]. Extending the infusion for up to 8 hours will ensure that the drugs that are not absorbed in the blood and cleared t</w:t>
      </w:r>
      <w:r w:rsidRPr="00A32125">
        <w:rPr>
          <w:rFonts w:ascii="Times New Roman" w:hAnsi="Times New Roman"/>
          <w:sz w:val="24"/>
          <w:szCs w:val="24"/>
        </w:rPr>
        <w:t xml:space="preserve">hrough the kidneys are accounted for. </w:t>
      </w:r>
    </w:p>
    <w:p w:rsidR="00EC6AC1" w:rsidRPr="00A32125" w:rsidRDefault="00923B76">
      <w:pPr>
        <w:spacing w:line="240" w:lineRule="auto"/>
        <w:rPr>
          <w:rFonts w:ascii="Times New Roman" w:hAnsi="Times New Roman"/>
          <w:b/>
          <w:bCs/>
          <w:sz w:val="24"/>
          <w:szCs w:val="24"/>
        </w:rPr>
      </w:pPr>
      <w:r w:rsidRPr="00A32125">
        <w:rPr>
          <w:rFonts w:ascii="Times New Roman" w:hAnsi="Times New Roman"/>
          <w:b/>
          <w:bCs/>
          <w:sz w:val="24"/>
          <w:szCs w:val="24"/>
        </w:rPr>
        <w:lastRenderedPageBreak/>
        <w:t xml:space="preserve">Elderly Patients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Administration of this drug to elderly people should also be adjusted to ensure that the outcome are optimal. Because of old age, patients are exposed to increased toxicity of drugs. In order patient</w:t>
      </w:r>
      <w:r w:rsidRPr="00A32125">
        <w:rPr>
          <w:rFonts w:ascii="Times New Roman" w:hAnsi="Times New Roman"/>
          <w:sz w:val="24"/>
          <w:szCs w:val="24"/>
        </w:rPr>
        <w:t>s, the administration of the drug varies depending on whether they have high levels of creatin clearance and the changes in pharmacokinetics [8]. For older patients with normal renal function or creatin clearance values above 40mm/min. In this case, the do</w:t>
      </w:r>
      <w:r w:rsidRPr="00A32125">
        <w:rPr>
          <w:rFonts w:ascii="Times New Roman" w:hAnsi="Times New Roman"/>
          <w:sz w:val="24"/>
          <w:szCs w:val="24"/>
        </w:rPr>
        <w:t xml:space="preserve">sage should be maintained at 3-4g/dose q4 to 6hrs not to exceed 24g in 24hrs. This dosage, however, should not exceed 4.5g per dose for a period of 30-infusion.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However, in the case of increased nephrotoxicity in these patients can lead to a decrease in t</w:t>
      </w:r>
      <w:r w:rsidRPr="00A32125">
        <w:rPr>
          <w:rFonts w:ascii="Times New Roman" w:hAnsi="Times New Roman"/>
          <w:sz w:val="24"/>
          <w:szCs w:val="24"/>
        </w:rPr>
        <w:t xml:space="preserve">he dosage or complete discontinuation. Administration of Piperacillin-Tazobactum in elderly patients can have severe effects, which can cause toxicity [9]. It the case of toxicity, it is recommended that the dosage be reduced to 2-3g/dose q6 to 12 hrs not </w:t>
      </w:r>
      <w:r w:rsidRPr="00A32125">
        <w:rPr>
          <w:rFonts w:ascii="Times New Roman" w:hAnsi="Times New Roman"/>
          <w:sz w:val="24"/>
          <w:szCs w:val="24"/>
        </w:rPr>
        <w:t>to exceed 24g in 24 hrs. Also, the severity of the drug can be increase by the presence of underlying conditions in elderly patients. Therefore, it is important to determine the state of elderly patients to know if there are underlying health issues [10, 1</w:t>
      </w:r>
      <w:r w:rsidRPr="00A32125">
        <w:rPr>
          <w:rFonts w:ascii="Times New Roman" w:hAnsi="Times New Roman"/>
          <w:sz w:val="24"/>
          <w:szCs w:val="24"/>
        </w:rPr>
        <w:t xml:space="preserve">1]. This knowledge is used to know the optimal dosage for a patient and promote quality patient outcomes. </w:t>
      </w:r>
    </w:p>
    <w:p w:rsidR="00EC6AC1" w:rsidRPr="00A32125" w:rsidRDefault="00923B76">
      <w:pPr>
        <w:spacing w:line="240" w:lineRule="auto"/>
        <w:rPr>
          <w:rFonts w:ascii="Times New Roman" w:hAnsi="Times New Roman"/>
          <w:sz w:val="24"/>
          <w:szCs w:val="24"/>
        </w:rPr>
      </w:pPr>
      <w:r w:rsidRPr="00A32125">
        <w:rPr>
          <w:rFonts w:ascii="Times New Roman" w:hAnsi="Times New Roman"/>
          <w:b/>
          <w:bCs/>
          <w:sz w:val="24"/>
          <w:szCs w:val="24"/>
        </w:rPr>
        <w:t>TDM</w:t>
      </w:r>
      <w:r w:rsidRPr="00A32125">
        <w:rPr>
          <w:rFonts w:ascii="Times New Roman" w:hAnsi="Times New Roman"/>
          <w:sz w:val="24"/>
          <w:szCs w:val="24"/>
        </w:rPr>
        <w:t xml:space="preserve">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Therapeutic drug monitoring (TDM) is a testing that is used in medicine to measure medication levels in blood [12]. TDM plays an essential role </w:t>
      </w:r>
      <w:r w:rsidRPr="00A32125">
        <w:rPr>
          <w:rFonts w:ascii="Times New Roman" w:hAnsi="Times New Roman"/>
          <w:sz w:val="24"/>
          <w:szCs w:val="24"/>
        </w:rPr>
        <w:t>in determination of the effectiveness, safety, and efficiency of administered drugs. TDM can be used to ensure that the right adjustments are made and optimal patient outcomes realized [13]. For the case of obese patients, it is important to use TDM becaus</w:t>
      </w:r>
      <w:r w:rsidRPr="00A32125">
        <w:rPr>
          <w:rFonts w:ascii="Times New Roman" w:hAnsi="Times New Roman"/>
          <w:sz w:val="24"/>
          <w:szCs w:val="24"/>
        </w:rPr>
        <w:t>e it will ensure that the right level of medication is administered [14]. Based on the fact that a higher dose for a prolonged infusion is required, the probability of giving an overdose is high [15]. However, using TDM, providers can know the exact amount</w:t>
      </w:r>
      <w:r w:rsidRPr="00A32125">
        <w:rPr>
          <w:rFonts w:ascii="Times New Roman" w:hAnsi="Times New Roman"/>
          <w:sz w:val="24"/>
          <w:szCs w:val="24"/>
        </w:rPr>
        <w:t xml:space="preserve"> of drugs to give. Patients with augmented renal function should have a TDM to ensure that a all administer drugs are not cleared from the system before they function. For elderly patients using TDM is vital because it will ensure that they are not overdos</w:t>
      </w:r>
      <w:r w:rsidRPr="00A32125">
        <w:rPr>
          <w:rFonts w:ascii="Times New Roman" w:hAnsi="Times New Roman"/>
          <w:sz w:val="24"/>
          <w:szCs w:val="24"/>
        </w:rPr>
        <w:t xml:space="preserve">es and, or exposed to nephrotoxicity. </w:t>
      </w:r>
    </w:p>
    <w:p w:rsidR="00EC6AC1" w:rsidRPr="00A32125" w:rsidRDefault="00923B76">
      <w:pPr>
        <w:spacing w:line="240" w:lineRule="auto"/>
        <w:rPr>
          <w:rFonts w:ascii="Times New Roman" w:hAnsi="Times New Roman"/>
          <w:sz w:val="24"/>
          <w:szCs w:val="24"/>
        </w:rPr>
      </w:pPr>
      <w:r w:rsidRPr="00A32125">
        <w:rPr>
          <w:rFonts w:ascii="Times New Roman" w:hAnsi="Times New Roman"/>
          <w:b/>
          <w:bCs/>
          <w:sz w:val="24"/>
          <w:szCs w:val="24"/>
        </w:rPr>
        <w:t>Conclusion</w:t>
      </w:r>
      <w:r w:rsidRPr="00A32125">
        <w:rPr>
          <w:rFonts w:ascii="Times New Roman" w:hAnsi="Times New Roman"/>
          <w:sz w:val="24"/>
          <w:szCs w:val="24"/>
        </w:rPr>
        <w:t xml:space="preserve"> </w:t>
      </w:r>
    </w:p>
    <w:tbl>
      <w:tblPr>
        <w:tblW w:w="0" w:type="auto"/>
        <w:tblLook w:val="04A0" w:firstRow="1" w:lastRow="0" w:firstColumn="1" w:lastColumn="0" w:noHBand="0" w:noVBand="1"/>
      </w:tblPr>
      <w:tblGrid>
        <w:gridCol w:w="1787"/>
        <w:gridCol w:w="2366"/>
        <w:gridCol w:w="2365"/>
        <w:gridCol w:w="3058"/>
      </w:tblGrid>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EC6AC1">
            <w:pPr>
              <w:spacing w:line="240" w:lineRule="auto"/>
              <w:rPr>
                <w:rFonts w:ascii="Times New Roman" w:hAnsi="Times New Roman"/>
                <w:sz w:val="24"/>
                <w:szCs w:val="24"/>
              </w:rPr>
            </w:pP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Dose adjustment</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TDM needed</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EC6AC1">
            <w:pPr>
              <w:spacing w:line="240" w:lineRule="auto"/>
              <w:rPr>
                <w:rFonts w:ascii="Times New Roman" w:hAnsi="Times New Roman"/>
                <w:sz w:val="24"/>
                <w:szCs w:val="24"/>
              </w:rPr>
            </w:pPr>
          </w:p>
        </w:tc>
      </w:tr>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EC6AC1">
            <w:pPr>
              <w:spacing w:line="240" w:lineRule="auto"/>
              <w:rPr>
                <w:rFonts w:ascii="Times New Roman" w:hAnsi="Times New Roman"/>
                <w:sz w:val="24"/>
                <w:szCs w:val="24"/>
              </w:rPr>
            </w:pP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YES or NO or COMMENT</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YES or NO or COMMENT</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COMMENT</w:t>
            </w:r>
          </w:p>
        </w:tc>
      </w:tr>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Obese patients</w:t>
            </w: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Yes</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 xml:space="preserve">Yes </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w:t>
            </w:r>
            <w:r w:rsidRPr="00A32125">
              <w:rPr>
                <w:rFonts w:ascii="Times New Roman" w:hAnsi="Times New Roman"/>
                <w:sz w:val="24"/>
                <w:szCs w:val="24"/>
                <w:highlight w:val="yellow"/>
              </w:rPr>
              <w:t>provide comment here in case you selected COMMENT</w:t>
            </w:r>
            <w:r w:rsidRPr="00A32125">
              <w:rPr>
                <w:rFonts w:ascii="Times New Roman" w:hAnsi="Times New Roman"/>
                <w:sz w:val="24"/>
                <w:szCs w:val="24"/>
              </w:rPr>
              <w:t xml:space="preserve">] </w:t>
            </w:r>
          </w:p>
        </w:tc>
      </w:tr>
      <w:tr w:rsidR="00EC6AC1" w:rsidRPr="00A32125">
        <w:tc>
          <w:tcPr>
            <w:tcW w:w="1838"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Patients with augmented renal</w:t>
            </w:r>
          </w:p>
        </w:tc>
        <w:tc>
          <w:tcPr>
            <w:tcW w:w="2457"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 xml:space="preserve">Yes </w:t>
            </w:r>
          </w:p>
        </w:tc>
        <w:tc>
          <w:tcPr>
            <w:tcW w:w="2456"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t xml:space="preserve">Yes </w:t>
            </w:r>
          </w:p>
        </w:tc>
        <w:tc>
          <w:tcPr>
            <w:tcW w:w="3209" w:type="dxa"/>
            <w:tcBorders>
              <w:top w:val="single" w:sz="4" w:space="0" w:color="auto"/>
              <w:left w:val="single" w:sz="4" w:space="0" w:color="auto"/>
              <w:bottom w:val="single" w:sz="4" w:space="0" w:color="auto"/>
              <w:right w:val="single" w:sz="4" w:space="0" w:color="auto"/>
            </w:tcBorders>
          </w:tcPr>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w:t>
            </w:r>
            <w:r w:rsidRPr="00A32125">
              <w:rPr>
                <w:rFonts w:ascii="Times New Roman" w:hAnsi="Times New Roman"/>
                <w:sz w:val="24"/>
                <w:szCs w:val="24"/>
                <w:highlight w:val="yellow"/>
              </w:rPr>
              <w:t>provide comment here in case you selected COMMENT</w:t>
            </w:r>
            <w:r w:rsidRPr="00A32125">
              <w:rPr>
                <w:rFonts w:ascii="Times New Roman" w:hAnsi="Times New Roman"/>
                <w:sz w:val="24"/>
                <w:szCs w:val="24"/>
              </w:rPr>
              <w:t>]</w:t>
            </w:r>
          </w:p>
        </w:tc>
      </w:tr>
    </w:tbl>
    <w:p w:rsidR="00EC6AC1" w:rsidRPr="00A32125" w:rsidRDefault="00EC6AC1">
      <w:pPr>
        <w:spacing w:line="240" w:lineRule="auto"/>
        <w:rPr>
          <w:rFonts w:ascii="Times New Roman" w:hAnsi="Times New Roman"/>
          <w:sz w:val="24"/>
          <w:szCs w:val="24"/>
        </w:rPr>
      </w:pPr>
    </w:p>
    <w:p w:rsidR="00EC6AC1" w:rsidRPr="00A32125" w:rsidRDefault="00EC6AC1">
      <w:pPr>
        <w:spacing w:line="240" w:lineRule="auto"/>
        <w:jc w:val="center"/>
        <w:rPr>
          <w:rFonts w:ascii="Times New Roman" w:hAnsi="Times New Roman"/>
          <w:sz w:val="24"/>
          <w:szCs w:val="24"/>
        </w:rPr>
      </w:pPr>
    </w:p>
    <w:p w:rsidR="00EC6AC1" w:rsidRPr="00A32125" w:rsidRDefault="00923B76">
      <w:pPr>
        <w:spacing w:line="240" w:lineRule="auto"/>
        <w:jc w:val="center"/>
        <w:rPr>
          <w:rFonts w:ascii="Times New Roman" w:hAnsi="Times New Roman"/>
          <w:sz w:val="24"/>
          <w:szCs w:val="24"/>
        </w:rPr>
      </w:pPr>
      <w:r w:rsidRPr="00A32125">
        <w:rPr>
          <w:rFonts w:ascii="Times New Roman" w:hAnsi="Times New Roman"/>
          <w:sz w:val="24"/>
          <w:szCs w:val="24"/>
        </w:rPr>
        <w:br w:type="page"/>
      </w:r>
      <w:r w:rsidRPr="00A32125">
        <w:rPr>
          <w:rFonts w:ascii="Times New Roman" w:hAnsi="Times New Roman"/>
          <w:sz w:val="24"/>
          <w:szCs w:val="24"/>
        </w:rPr>
        <w:lastRenderedPageBreak/>
        <w:t>References</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1. U.S. National Library of Medicine. Piperacillin and Tazobactam Injection. (2021). https://medlineplus.gov/druginfo/meds/a694003.html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2. Meng, L., Mui, E., Holubar, M. K., &amp; Deresinki, S.</w:t>
      </w:r>
      <w:r w:rsidRPr="00A32125">
        <w:rPr>
          <w:rFonts w:ascii="Times New Roman" w:hAnsi="Times New Roman"/>
          <w:sz w:val="24"/>
          <w:szCs w:val="24"/>
        </w:rPr>
        <w:t xml:space="preserve"> C. Comprehensive Guidance for Antibiotic Dosing in Obese Adults. Pharmacotherapy: The Journal of Human Pharmacology and Drug Therapy. 2017. 37(11).  p. 1415-1431. https://doi.org/10.1002/phar.2023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3. Veillette, J.J., Winans, S.A., Maskiewicz, V.K. et al. </w:t>
      </w:r>
      <w:r w:rsidRPr="00A32125">
        <w:rPr>
          <w:rFonts w:ascii="Times New Roman" w:hAnsi="Times New Roman"/>
          <w:sz w:val="24"/>
          <w:szCs w:val="24"/>
        </w:rPr>
        <w:t>Pharmacokinetics and Pharmacodynamics of High-Dose Piperacillin–Tazobactam in Obese Patients. Eur J Drug Metab Pharmacokinet (2021). https://doi.org/10.1007/s13318-021-00677-1</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4. Cheatham SC, Fleming MR, Healy DP, Chung CE, Shea KM, and Humphrey ML et al. </w:t>
      </w:r>
      <w:r w:rsidRPr="00A32125">
        <w:rPr>
          <w:rFonts w:ascii="Times New Roman" w:hAnsi="Times New Roman"/>
          <w:sz w:val="24"/>
          <w:szCs w:val="24"/>
        </w:rPr>
        <w:t>Steady-state pharmacokinetics and pharmacodynamics of piperacillin and tazobactam administered by prolonged infusion in obese patients. Int J Antimicrob Agents 2013;41:52-6.</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5. Chen, I. H., &amp; Nicolau, D. P. Augmented Renal Clearance and How to Augment </w:t>
      </w:r>
      <w:r w:rsidRPr="00A32125">
        <w:rPr>
          <w:rFonts w:ascii="Times New Roman" w:hAnsi="Times New Roman"/>
          <w:sz w:val="24"/>
          <w:szCs w:val="24"/>
        </w:rPr>
        <w:t>Antibiotic Dosing. Multidisciplinary Digital Publishing Institute (MDPI). (2020). 9(7). 393.https://dx.doi.org/10.3390%2Fantibiotics9070393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6. Carrié C, Legeron R, Petit L, Ollivier J, Cottenceau V, d'Houdain N, et al. Higher than standard dosing regimen a</w:t>
      </w:r>
      <w:r w:rsidRPr="00A32125">
        <w:rPr>
          <w:rFonts w:ascii="Times New Roman" w:hAnsi="Times New Roman"/>
          <w:sz w:val="24"/>
          <w:szCs w:val="24"/>
        </w:rPr>
        <w:t>re needed to achieve optimal antibiotic exposure in critically ill patients with augmented renal clearance receiving piperacillin-tazobactam administered by continuous infusion. J Crit Care. 2018 Dec;48:66-71. doi: 10.1016/j.jcrc.2018.08.026. Epub 2018 Aug</w:t>
      </w:r>
      <w:r w:rsidRPr="00A32125">
        <w:rPr>
          <w:rFonts w:ascii="Times New Roman" w:hAnsi="Times New Roman"/>
          <w:sz w:val="24"/>
          <w:szCs w:val="24"/>
        </w:rPr>
        <w:t xml:space="preserve"> 23. PMID: 30172963.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7. Besnard, T., Carrié, C., Petit, L., and Biais, M. Increased dosing regimens of piperacillin-tazobactam are needed to avoid subtherapeutic exposure in critically ill patients with augmented renal clearance. Critical Care. (2019). 23.</w:t>
      </w:r>
      <w:r w:rsidRPr="00A32125">
        <w:rPr>
          <w:rFonts w:ascii="Times New Roman" w:hAnsi="Times New Roman"/>
          <w:sz w:val="24"/>
          <w:szCs w:val="24"/>
        </w:rPr>
        <w:t xml:space="preserve"> 10.1186/s13054-019-2308-x.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8. Karino F, Nishimura N, Ishihara N, Moriyama H, Miura K, Hamaguchi S, Sutani A, Kuraki T, Ikawa K, Morikawa N, Naora K. Nephrotoxicity induced by piperacillin-tazobactam in late elderly Japanese patients with nursing and heal</w:t>
      </w:r>
      <w:r w:rsidRPr="00A32125">
        <w:rPr>
          <w:rFonts w:ascii="Times New Roman" w:hAnsi="Times New Roman"/>
          <w:sz w:val="24"/>
          <w:szCs w:val="24"/>
        </w:rPr>
        <w:t>thcare associated pneumonia. Biological and Pharmaceutical Bulletin. 2014:b14-00362.</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9. Karino F, Miura K, Fuchita H, Koba N, Nishikawa E, Hotta T, et al. Efficacy and safety of piperacillin/tazobactam versus biapenem in late elderly patients with nursing-</w:t>
      </w:r>
      <w:r w:rsidRPr="00A32125">
        <w:rPr>
          <w:rFonts w:ascii="Times New Roman" w:hAnsi="Times New Roman"/>
          <w:sz w:val="24"/>
          <w:szCs w:val="24"/>
        </w:rPr>
        <w:t xml:space="preserve"> and healthcare-associated pneumonia. J Infect Chemother. 2013 Oct;19(5):909-15. doi: 10.1007/s10156-013-0605-x. Epub 2013 May 5. PMID: 23645226.</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10. Nagayama, H.; Ueda, M.; Kumagai, T.; Tsukamoto, K.; Nishiyama, Y.; Nishimura, S.; Hamamoto, M.; Katayama, </w:t>
      </w:r>
      <w:r w:rsidRPr="00A32125">
        <w:rPr>
          <w:rFonts w:ascii="Times New Roman" w:hAnsi="Times New Roman"/>
          <w:sz w:val="24"/>
          <w:szCs w:val="24"/>
        </w:rPr>
        <w:t xml:space="preserve">Y. Influence of ageing on the pharmacokinetics of levodopa in elderly patients with Parkinson’s disease. Parkinsonism Relat. Disord. 2011, 17, 150–152.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11. Ishihara, N.; Nishimura, N.; Ikawa, K.; Karino, F.; Miura, K.; Tamaki, H.; Yano, T.; Isobe, T.; Mor</w:t>
      </w:r>
      <w:r w:rsidRPr="00A32125">
        <w:rPr>
          <w:rFonts w:ascii="Times New Roman" w:hAnsi="Times New Roman"/>
          <w:sz w:val="24"/>
          <w:szCs w:val="24"/>
        </w:rPr>
        <w:t xml:space="preserve">ikawa, N.; Naora, K. Population Pharmacokinetic Modeling and Pharmacodynamic Target Attainment Simulation of Piperacillin/Tazobactam for Dosing Optimization in Late </w:t>
      </w:r>
      <w:r w:rsidRPr="00A32125">
        <w:rPr>
          <w:rFonts w:ascii="Times New Roman" w:hAnsi="Times New Roman"/>
          <w:sz w:val="24"/>
          <w:szCs w:val="24"/>
        </w:rPr>
        <w:lastRenderedPageBreak/>
        <w:t>Elderly Patients with Pneumonia. Antibiotics 2020, 9, 113. https://doi.org/10.3390/antibiot</w:t>
      </w:r>
      <w:r w:rsidRPr="00A32125">
        <w:rPr>
          <w:rFonts w:ascii="Times New Roman" w:hAnsi="Times New Roman"/>
          <w:sz w:val="24"/>
          <w:szCs w:val="24"/>
        </w:rPr>
        <w:t>ics9030113</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12. Hiemke C, Bergemann N, Clement HW, Conca A, Deckert J, Domschke K, Eckermann G, Egberts K, Gerlach M, Greiner C, Gründer G. Consensus guidelines for therapeutic drug monitoring in neuropsychopharmacology: update 2017. Pharmacopsychiatry. 201</w:t>
      </w:r>
      <w:r w:rsidRPr="00A32125">
        <w:rPr>
          <w:rFonts w:ascii="Times New Roman" w:hAnsi="Times New Roman"/>
          <w:sz w:val="24"/>
          <w:szCs w:val="24"/>
        </w:rPr>
        <w:t>8 Jan;51(01/02):9-62.</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 xml:space="preserve">13. Mclachlan, Andrew. (2016). Therapeutic Drug Monitoring in Older People. 10.1016/B978-0-12-802025-8.00009-X. </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14. Ghiculescu R. Therapeutic drug monitoring: which drugs, why, when and how to do it. Aust Prescr 2008;31:42-4. https:/</w:t>
      </w:r>
      <w:r w:rsidRPr="00A32125">
        <w:rPr>
          <w:rFonts w:ascii="Times New Roman" w:hAnsi="Times New Roman"/>
          <w:sz w:val="24"/>
          <w:szCs w:val="24"/>
        </w:rPr>
        <w:t>/doi.org/10.18773/austprescr.2008.025</w:t>
      </w:r>
    </w:p>
    <w:p w:rsidR="00EC6AC1" w:rsidRPr="00A32125" w:rsidRDefault="00923B76">
      <w:pPr>
        <w:spacing w:line="240" w:lineRule="auto"/>
        <w:rPr>
          <w:rFonts w:ascii="Times New Roman" w:hAnsi="Times New Roman"/>
          <w:sz w:val="24"/>
          <w:szCs w:val="24"/>
        </w:rPr>
      </w:pPr>
      <w:r w:rsidRPr="00A32125">
        <w:rPr>
          <w:rFonts w:ascii="Times New Roman" w:hAnsi="Times New Roman"/>
          <w:sz w:val="24"/>
          <w:szCs w:val="24"/>
        </w:rPr>
        <w:t>15. Montero, J., Rich, R. EFFECT OF STANDARD PIPERACILLIN/TAZOBACTAM DOSING IN OBESE VERSUS NON-OBESE SEPTIC PATIENTS, Critical Care Medicine: January 2019 - Volume 47 - Issue 1 - p 267 doi: 10.1097/01.ccm.0000551326.5</w:t>
      </w:r>
      <w:r w:rsidRPr="00A32125">
        <w:rPr>
          <w:rFonts w:ascii="Times New Roman" w:hAnsi="Times New Roman"/>
          <w:sz w:val="24"/>
          <w:szCs w:val="24"/>
        </w:rPr>
        <w:t>4709.e5</w:t>
      </w:r>
    </w:p>
    <w:p w:rsidR="00EC6AC1" w:rsidRPr="00A32125" w:rsidRDefault="00EC6AC1">
      <w:pPr>
        <w:spacing w:line="240" w:lineRule="auto"/>
        <w:rPr>
          <w:rFonts w:ascii="Times New Roman" w:hAnsi="Times New Roman"/>
          <w:sz w:val="24"/>
          <w:szCs w:val="24"/>
        </w:rPr>
      </w:pPr>
    </w:p>
    <w:sectPr w:rsidR="00EC6AC1" w:rsidRPr="00A3212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B76" w:rsidRDefault="00923B76">
      <w:pPr>
        <w:spacing w:after="0" w:line="240" w:lineRule="auto"/>
      </w:pPr>
      <w:r>
        <w:separator/>
      </w:r>
    </w:p>
  </w:endnote>
  <w:endnote w:type="continuationSeparator" w:id="0">
    <w:p w:rsidR="00923B76" w:rsidRDefault="0092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C1" w:rsidRDefault="00EC6AC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B76" w:rsidRDefault="00923B76">
      <w:pPr>
        <w:spacing w:after="0" w:line="240" w:lineRule="auto"/>
      </w:pPr>
      <w:r>
        <w:separator/>
      </w:r>
    </w:p>
  </w:footnote>
  <w:footnote w:type="continuationSeparator" w:id="0">
    <w:p w:rsidR="00923B76" w:rsidRDefault="00923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25" w:rsidRDefault="00A32125">
    <w:pPr>
      <w:pStyle w:val="Header"/>
      <w:jc w:val="right"/>
    </w:pPr>
    <w:r>
      <w:fldChar w:fldCharType="begin"/>
    </w:r>
    <w:r>
      <w:instrText xml:space="preserve"> PAGE   \* MERGEFORMAT </w:instrText>
    </w:r>
    <w:r>
      <w:fldChar w:fldCharType="separate"/>
    </w:r>
    <w:r>
      <w:rPr>
        <w:noProof/>
      </w:rPr>
      <w:t>1</w:t>
    </w:r>
    <w:r>
      <w:rPr>
        <w:noProof/>
      </w:rPr>
      <w:fldChar w:fldCharType="end"/>
    </w:r>
  </w:p>
  <w:p w:rsidR="00EC6AC1" w:rsidRDefault="00EC6A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zYxNDK1MDexNDQztzRR0lEKTi0uzszPAykwrAUANhoQhiwAAAA="/>
  </w:docVars>
  <w:rsids>
    <w:rsidRoot w:val="00EC6AC1"/>
    <w:rsid w:val="00923B76"/>
    <w:rsid w:val="00A32125"/>
    <w:rsid w:val="00EC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B59A053-3FAF-46F6-B369-B9A85A64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sz w:val="21"/>
    </w:rPr>
  </w:style>
  <w:style w:type="paragraph" w:styleId="Header">
    <w:name w:val="header"/>
    <w:basedOn w:val="Normal"/>
    <w:link w:val="HeaderChar"/>
    <w:uiPriority w:val="99"/>
    <w:unhideWhenUsed/>
    <w:rsid w:val="00A32125"/>
    <w:pPr>
      <w:tabs>
        <w:tab w:val="center" w:pos="4513"/>
        <w:tab w:val="right" w:pos="9026"/>
      </w:tabs>
    </w:pPr>
  </w:style>
  <w:style w:type="character" w:customStyle="1" w:styleId="HeaderChar">
    <w:name w:val="Header Char"/>
    <w:link w:val="Header"/>
    <w:uiPriority w:val="99"/>
    <w:rsid w:val="00A32125"/>
    <w:rPr>
      <w:sz w:val="22"/>
      <w:szCs w:val="22"/>
    </w:rPr>
  </w:style>
  <w:style w:type="paragraph" w:styleId="Footer">
    <w:name w:val="footer"/>
    <w:basedOn w:val="Normal"/>
    <w:link w:val="FooterChar"/>
    <w:uiPriority w:val="99"/>
    <w:unhideWhenUsed/>
    <w:rsid w:val="00A32125"/>
    <w:pPr>
      <w:tabs>
        <w:tab w:val="center" w:pos="4513"/>
        <w:tab w:val="right" w:pos="9026"/>
      </w:tabs>
    </w:pPr>
  </w:style>
  <w:style w:type="character" w:customStyle="1" w:styleId="FooterChar">
    <w:name w:val="Footer Char"/>
    <w:link w:val="Footer"/>
    <w:uiPriority w:val="99"/>
    <w:rsid w:val="00A321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user</cp:lastModifiedBy>
  <cp:revision>2</cp:revision>
  <dcterms:created xsi:type="dcterms:W3CDTF">2021-04-20T09:49:00Z</dcterms:created>
  <dcterms:modified xsi:type="dcterms:W3CDTF">2021-04-20T17:20:00Z</dcterms:modified>
</cp:coreProperties>
</file>